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F5" w:rsidRDefault="008044F5" w:rsidP="008044F5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280410" wp14:editId="4030D3A5">
            <wp:simplePos x="0" y="0"/>
            <wp:positionH relativeFrom="column">
              <wp:posOffset>2747645</wp:posOffset>
            </wp:positionH>
            <wp:positionV relativeFrom="paragraph">
              <wp:posOffset>-31750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F5" w:rsidRDefault="008044F5" w:rsidP="008044F5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</w:p>
    <w:p w:rsidR="008044F5" w:rsidRDefault="008044F5" w:rsidP="008044F5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</w:p>
    <w:p w:rsidR="008044F5" w:rsidRPr="00A36068" w:rsidRDefault="008044F5" w:rsidP="008044F5">
      <w:pPr>
        <w:pStyle w:val="Style1"/>
        <w:widowControl/>
        <w:spacing w:before="82" w:line="370" w:lineRule="exact"/>
        <w:jc w:val="center"/>
        <w:rPr>
          <w:rStyle w:val="FontStyle11"/>
          <w:b/>
          <w:sz w:val="28"/>
          <w:szCs w:val="28"/>
        </w:rPr>
      </w:pPr>
      <w:r w:rsidRPr="00A36068">
        <w:rPr>
          <w:rStyle w:val="FontStyle11"/>
          <w:b/>
          <w:sz w:val="28"/>
          <w:szCs w:val="28"/>
        </w:rPr>
        <w:t>АДМИНИСТРАЦИЯ СЕЛЬСКОГО ПОСЕЛЕНИЯ</w:t>
      </w:r>
    </w:p>
    <w:p w:rsidR="008044F5" w:rsidRPr="00A36068" w:rsidRDefault="008044F5" w:rsidP="008044F5">
      <w:pPr>
        <w:pStyle w:val="Style2"/>
        <w:widowControl/>
        <w:ind w:left="1579" w:right="1584"/>
        <w:rPr>
          <w:rStyle w:val="FontStyle11"/>
          <w:b/>
          <w:sz w:val="28"/>
          <w:szCs w:val="28"/>
        </w:rPr>
      </w:pPr>
      <w:r w:rsidRPr="00A36068">
        <w:rPr>
          <w:rStyle w:val="FontStyle11"/>
          <w:b/>
          <w:sz w:val="28"/>
          <w:szCs w:val="28"/>
        </w:rPr>
        <w:t>КУРУМОЧ МУНИЦИПАЛЬНОГО РАЙОНА ВОЛЖСКИЙ САМАРСКОЙ ОБЛАСТИ</w:t>
      </w:r>
    </w:p>
    <w:p w:rsidR="004D366E" w:rsidRDefault="004D366E" w:rsidP="008044F5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8044F5" w:rsidRPr="00CF614E" w:rsidRDefault="00CE572B" w:rsidP="00CF614E">
      <w:pPr>
        <w:pStyle w:val="Style3"/>
        <w:widowControl/>
        <w:spacing w:line="240" w:lineRule="exact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</w:t>
      </w:r>
    </w:p>
    <w:p w:rsidR="008044F5" w:rsidRPr="00A36068" w:rsidRDefault="008044F5" w:rsidP="008044F5">
      <w:pPr>
        <w:pStyle w:val="Style3"/>
        <w:widowControl/>
        <w:spacing w:before="120"/>
        <w:jc w:val="center"/>
        <w:rPr>
          <w:rStyle w:val="FontStyle11"/>
          <w:b/>
          <w:sz w:val="28"/>
          <w:szCs w:val="28"/>
        </w:rPr>
      </w:pPr>
      <w:r w:rsidRPr="00A36068">
        <w:rPr>
          <w:rStyle w:val="FontStyle11"/>
          <w:b/>
          <w:sz w:val="28"/>
          <w:szCs w:val="28"/>
        </w:rPr>
        <w:t>ПОСТАНОВЛЕНИЕ</w:t>
      </w:r>
    </w:p>
    <w:p w:rsidR="008044F5" w:rsidRDefault="008044F5" w:rsidP="008044F5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8044F5" w:rsidRDefault="008044F5" w:rsidP="008044F5">
      <w:pPr>
        <w:pStyle w:val="Style4"/>
        <w:widowControl/>
        <w:spacing w:before="24"/>
        <w:jc w:val="center"/>
        <w:rPr>
          <w:rStyle w:val="FontStyle11"/>
        </w:rPr>
      </w:pPr>
      <w:r>
        <w:rPr>
          <w:rStyle w:val="FontStyle11"/>
        </w:rPr>
        <w:t>от «</w:t>
      </w:r>
      <w:r w:rsidR="00CE572B">
        <w:rPr>
          <w:rStyle w:val="FontStyle11"/>
        </w:rPr>
        <w:t>03</w:t>
      </w:r>
      <w:r>
        <w:rPr>
          <w:rStyle w:val="FontStyle11"/>
        </w:rPr>
        <w:t xml:space="preserve">» </w:t>
      </w:r>
      <w:r w:rsidR="00CE572B">
        <w:rPr>
          <w:rStyle w:val="FontStyle11"/>
        </w:rPr>
        <w:t>марта</w:t>
      </w:r>
      <w:r>
        <w:rPr>
          <w:rStyle w:val="FontStyle11"/>
        </w:rPr>
        <w:t xml:space="preserve">  201</w:t>
      </w:r>
      <w:r w:rsidR="00CE572B">
        <w:rPr>
          <w:rStyle w:val="FontStyle11"/>
        </w:rPr>
        <w:t xml:space="preserve">7 г </w:t>
      </w:r>
      <w:r>
        <w:rPr>
          <w:rStyle w:val="FontStyle11"/>
        </w:rPr>
        <w:t xml:space="preserve"> № </w:t>
      </w:r>
      <w:r w:rsidR="00CE572B">
        <w:rPr>
          <w:rStyle w:val="FontStyle11"/>
        </w:rPr>
        <w:t>28</w:t>
      </w:r>
      <w:r>
        <w:rPr>
          <w:rStyle w:val="FontStyle11"/>
        </w:rPr>
        <w:t xml:space="preserve">  </w:t>
      </w:r>
    </w:p>
    <w:p w:rsidR="008044F5" w:rsidRDefault="008044F5" w:rsidP="008044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336CBE" w:rsidRDefault="008044F5" w:rsidP="008044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</w:t>
      </w:r>
      <w:r w:rsidR="00A36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Курумоч и подведомственных ей организаций</w:t>
      </w: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указанными лицами данной информации</w:t>
      </w:r>
    </w:p>
    <w:p w:rsidR="008044F5" w:rsidRPr="00336CBE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14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336CB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статьей 349.5</w:t>
        </w:r>
      </w:hyperlink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руководствуясь статьями 42, 43 и 68 Устава сельского поселение Курумоч, Администрация сельского поселения Курумоч </w:t>
      </w:r>
    </w:p>
    <w:p w:rsidR="008044F5" w:rsidRPr="00336C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4F5" w:rsidRPr="00336C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4F5" w:rsidRPr="00336CBE" w:rsidRDefault="008044F5" w:rsidP="008044F5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3" w:history="1">
        <w:r w:rsidRPr="00336CBE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в информационно-телекоммуникационной сети </w:t>
      </w:r>
      <w:r w:rsidR="00640122"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 информации о рассчитываемой за календарный год среднемесячной заработной плате руководителей, их заместителей, главных бухгалтеров</w:t>
      </w:r>
      <w:r w:rsidR="0064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Курумоч и подведомственных ей организаций</w:t>
      </w:r>
      <w:r w:rsidR="00640122"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указанными лицами данной информации</w:t>
      </w: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4F5" w:rsidRPr="00336CBE" w:rsidRDefault="008044F5" w:rsidP="008044F5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C11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6CBE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</w:t>
      </w:r>
      <w:r w:rsidR="005C1184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ежемесячном информационном вестнике «Вести сельского поселения Курумоч» и на официальном сайте Администрации сельского поселения Курумоч телекоммуникационной сети Интернет: </w:t>
      </w:r>
      <w:r w:rsidR="005C1184"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 w:rsidR="005C11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4F5" w:rsidRPr="00336CBE" w:rsidRDefault="008044F5" w:rsidP="008044F5">
      <w:pPr>
        <w:pStyle w:val="ConsPlusNormal"/>
        <w:tabs>
          <w:tab w:val="left" w:pos="709"/>
          <w:tab w:val="left" w:pos="851"/>
        </w:tabs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4F5" w:rsidRPr="00336C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4F5" w:rsidRPr="00336CBE" w:rsidRDefault="008044F5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4F5" w:rsidRPr="00336CBE" w:rsidRDefault="008044F5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4F5" w:rsidRPr="00336CBE" w:rsidRDefault="008044F5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4F5" w:rsidRDefault="008044F5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FA47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Курумоч</w:t>
      </w:r>
      <w:r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FA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Катынский </w:t>
      </w:r>
    </w:p>
    <w:p w:rsidR="00FA475C" w:rsidRDefault="00FA475C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75C" w:rsidRDefault="00FA475C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75C" w:rsidRDefault="00FA475C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10C" w:rsidRDefault="006C010C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10C" w:rsidRDefault="006C010C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75C" w:rsidRPr="00336CBE" w:rsidRDefault="00F62F86" w:rsidP="008044F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Кулешевская </w:t>
      </w:r>
      <w:r w:rsidR="00FA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9989361 </w:t>
      </w:r>
    </w:p>
    <w:p w:rsidR="008044F5" w:rsidRPr="00336CBE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4F5" w:rsidRDefault="008044F5" w:rsidP="008044F5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6E5635" w:rsidRDefault="008044F5" w:rsidP="008044F5">
      <w:pPr>
        <w:pStyle w:val="ConsPlusNormal"/>
        <w:ind w:left="3528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8044F5" w:rsidRPr="006E5635" w:rsidRDefault="008044F5" w:rsidP="00804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F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Курумоч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CE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03 марта2017г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CE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28</w:t>
      </w:r>
    </w:p>
    <w:p w:rsidR="008044F5" w:rsidRPr="00FA475C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75C" w:rsidRPr="00FA475C" w:rsidRDefault="008044F5" w:rsidP="008044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3"/>
      <w:bookmarkEnd w:id="1"/>
      <w:r w:rsidRPr="00FA4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8044F5" w:rsidRPr="006E5635" w:rsidRDefault="008044F5" w:rsidP="008044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75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в информационно-телекоммуникационной сети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122"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 информации о рассчитываемой за календарный год среднемесячной заработной плате руководителей, их заместителей, главных бухгалтеров</w:t>
      </w:r>
      <w:r w:rsidR="00640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 поселения Курумоч и подведомственных ей организаций</w:t>
      </w:r>
      <w:r w:rsidR="00640122" w:rsidRPr="00336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представления указанными лицами данной информации</w:t>
      </w:r>
    </w:p>
    <w:p w:rsidR="008044F5" w:rsidRPr="006E5635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0831BE" w:rsidRDefault="008044F5" w:rsidP="008044F5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документ разработан на основании </w:t>
      </w:r>
      <w:hyperlink r:id="rId7" w:history="1">
        <w:r w:rsidRPr="000831B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статьи 349.5</w:t>
        </w:r>
      </w:hyperlink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и в целях установления единого порядка размещения в информационно-телекоммуникационной сети </w:t>
      </w:r>
      <w:r w:rsidR="00640122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«Интернет» информации о рассчитываемой за календарный год среднемесячной заработной плате руководителей, их заместителей, главных бухгалтеров Администрации сельского поселения Курумоч и подведомственных ей организаций муниципальных учреждений и муниципальных унитарных предприятий муниципального образования «Сельское поселение Курумоч» и представления указанными лицами данной информации</w:t>
      </w:r>
      <w:r w:rsidR="00FA475C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Порядок, муниципальные учреждения).</w:t>
      </w:r>
    </w:p>
    <w:p w:rsidR="008044F5" w:rsidRPr="000831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3"/>
      <w:bookmarkEnd w:id="2"/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муниципальных 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размещается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7B30F4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Курумоч муниципального района Волжский Самарской области 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 (далее - официальный сайт).</w:t>
      </w:r>
    </w:p>
    <w:p w:rsidR="008044F5" w:rsidRPr="000831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w:anchor="P72" w:history="1">
        <w:r w:rsidRPr="000831B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Информация</w:t>
        </w:r>
      </w:hyperlink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указанная в </w:t>
      </w:r>
      <w:hyperlink w:anchor="P43" w:history="1">
        <w:r w:rsidRPr="000831B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2</w:t>
        </w:r>
      </w:hyperlink>
      <w:r w:rsidRPr="000831BE">
        <w:rPr>
          <w:rFonts w:ascii="Times New Roman" w:hAnsi="Times New Roman" w:cs="Times New Roman"/>
          <w:sz w:val="24"/>
          <w:szCs w:val="24"/>
        </w:rPr>
        <w:t xml:space="preserve"> 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Порядка, размещается на официальном сайте по форме, установленной приложением № 1 к настоящему Порядку.</w:t>
      </w:r>
    </w:p>
    <w:p w:rsidR="00640122" w:rsidRPr="000831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Размещение на официальном сайте информации, указанной в </w:t>
      </w:r>
      <w:hyperlink w:anchor="P43" w:history="1">
        <w:r w:rsidRPr="000831B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2</w:t>
        </w:r>
      </w:hyperlink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</w:t>
      </w:r>
      <w:r w:rsidR="00640122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Администрацией сельского поселения Курумоч.</w:t>
      </w:r>
    </w:p>
    <w:p w:rsidR="008044F5" w:rsidRPr="000831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составе размещаемой на официальном сайте информации, указанной в </w:t>
      </w:r>
      <w:hyperlink w:anchor="P43" w:history="1">
        <w:r w:rsidRPr="000831B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2</w:t>
        </w:r>
      </w:hyperlink>
      <w:r w:rsidRPr="000831BE">
        <w:rPr>
          <w:sz w:val="24"/>
          <w:szCs w:val="24"/>
        </w:rPr>
        <w:t xml:space="preserve"> 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43" w:history="1">
        <w:r w:rsidRPr="000831B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пункте 2</w:t>
        </w:r>
      </w:hyperlink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8044F5" w:rsidRPr="006E5635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Информация, указанная в </w:t>
      </w:r>
      <w:hyperlink w:anchor="P43" w:history="1">
        <w:r w:rsidRPr="0061206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е</w:t>
        </w:r>
        <w:r w:rsidRPr="0061206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2</w:t>
        </w:r>
      </w:hyperlink>
      <w:r w:rsidRPr="00612066">
        <w:rPr>
          <w:rFonts w:ascii="Times New Roman" w:hAnsi="Times New Roman" w:cs="Times New Roman"/>
          <w:sz w:val="24"/>
          <w:szCs w:val="24"/>
        </w:rPr>
        <w:t xml:space="preserve">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Порядка, размещается 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на срок до одного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момента ее замены соответствующей информацией за новый отчетный период).</w:t>
      </w:r>
    </w:p>
    <w:p w:rsidR="008044F5" w:rsidRPr="006E5635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w:anchor="P123" w:history="1">
        <w:r w:rsidRPr="006E563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Информация</w:t>
        </w:r>
      </w:hyperlink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указанная в </w:t>
      </w:r>
      <w:hyperlink w:anchor="P43" w:history="1">
        <w:r w:rsidRPr="006E563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е</w:t>
        </w:r>
        <w:r w:rsidRPr="006E563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2</w:t>
        </w:r>
      </w:hyperlink>
      <w:r>
        <w:t xml:space="preserve">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Порядка, представляется руководителями муниципальных </w:t>
      </w:r>
      <w:r w:rsidR="000831BE"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="000831BE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позднее 3 рабочих дней со дня истечения отчетного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, в письменном виде по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е, установленной приложением № 2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 (с сопроводительным письмом),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</w:t>
      </w:r>
      <w:r w:rsidR="000831B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1B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Курумоч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r w:rsidR="000831BE">
        <w:rPr>
          <w:rFonts w:ascii="Times New Roman" w:hAnsi="Times New Roman" w:cs="Times New Roman"/>
          <w:color w:val="000000" w:themeColor="text1"/>
          <w:sz w:val="24"/>
          <w:szCs w:val="24"/>
        </w:rPr>
        <w:t>с пунктом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настоящего Порядка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4F5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за своевременность представления информации, указанной в </w:t>
      </w:r>
      <w:hyperlink w:anchor="P43" w:history="1">
        <w:r w:rsidRPr="006E563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е</w:t>
        </w:r>
        <w:r w:rsidRPr="006E563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7</w:t>
        </w:r>
      </w:hyperlink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Порядка, 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полноту и достоверность возлагается на руководителей муниципальных учреждений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4F5" w:rsidRPr="000831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9. Администраци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Курумоч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, указанн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пункте 4 настоящего Порядка, не позднее 3 рабочих дней оформляет поступившую информацию в соответствии с приложением № 1 к настоящему Порядку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31BE" w:rsidRPr="000831BE">
        <w:rPr>
          <w:rFonts w:ascii="Times New Roman" w:hAnsi="Times New Roman" w:cs="Times New Roman"/>
          <w:sz w:val="24"/>
          <w:szCs w:val="24"/>
          <w:lang w:eastAsia="en-US"/>
        </w:rPr>
        <w:t>обеспечивает незамедлительное (в день поступления) её размещение на официальном сайте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4F5" w:rsidRPr="000831BE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Ответственность за своевременность направление информации, предусмотренной пунктом 2 настоящего Порядка, и её размещение на официальном сайте возлагается на руководителей соответствующих структурных подразделений Администрации 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поселения Курумоч и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 Администрации ответственного за размещение информации на официальном сайте</w:t>
      </w: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44F5" w:rsidRPr="000831BE" w:rsidRDefault="008044F5" w:rsidP="008044F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831BE">
        <w:rPr>
          <w:lang w:eastAsia="en-US"/>
        </w:rPr>
        <w:t xml:space="preserve">12. </w:t>
      </w:r>
      <w:r w:rsidRPr="000831BE">
        <w:rPr>
          <w:color w:val="000000" w:themeColor="text1"/>
        </w:rPr>
        <w:t xml:space="preserve">Информация, указанная в </w:t>
      </w:r>
      <w:hyperlink w:anchor="P43" w:history="1">
        <w:r w:rsidRPr="000831BE">
          <w:rPr>
            <w:rStyle w:val="a3"/>
            <w:color w:val="000000" w:themeColor="text1"/>
          </w:rPr>
          <w:t>пункте 2</w:t>
        </w:r>
      </w:hyperlink>
      <w:r w:rsidRPr="000831BE">
        <w:rPr>
          <w:color w:val="000000" w:themeColor="text1"/>
        </w:rPr>
        <w:t xml:space="preserve"> настоящего Порядка, размещается на официальном сайте не позднее 7 рабочих дней со дня истечения календарного года.</w:t>
      </w:r>
    </w:p>
    <w:p w:rsidR="008044F5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1BE" w:rsidRDefault="000831BE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1BE" w:rsidRDefault="000831BE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1BE" w:rsidRDefault="000831BE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1BE" w:rsidRDefault="000831BE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1BE" w:rsidRDefault="000831BE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6E563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8044F5" w:rsidRPr="006E5635" w:rsidRDefault="008044F5" w:rsidP="00804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8044F5" w:rsidRPr="006E5635" w:rsidRDefault="008044F5" w:rsidP="00804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  <w:r w:rsidR="007E4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</w:t>
      </w:r>
    </w:p>
    <w:p w:rsidR="007E446D" w:rsidRDefault="008044F5" w:rsidP="000831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="000831BE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«Интернет» информации о рассчитываемой </w:t>
      </w:r>
    </w:p>
    <w:p w:rsidR="007E446D" w:rsidRDefault="000831BE" w:rsidP="000831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календарный год среднемесячной </w:t>
      </w:r>
    </w:p>
    <w:p w:rsidR="007E446D" w:rsidRDefault="000831BE" w:rsidP="000831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заработной плате руководителей, их заместителей, </w:t>
      </w:r>
    </w:p>
    <w:p w:rsidR="007E446D" w:rsidRDefault="000831BE" w:rsidP="000831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главных бухгалтеров Администрации сельского поселения Курумоч и подведомственных ей организаций</w:t>
      </w:r>
    </w:p>
    <w:p w:rsidR="008044F5" w:rsidRPr="006E5635" w:rsidRDefault="000831BE" w:rsidP="000831B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представления указанными лицами данной информации</w:t>
      </w:r>
    </w:p>
    <w:p w:rsidR="008044F5" w:rsidRPr="006E5635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2"/>
      <w:bookmarkEnd w:id="4"/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о рассчитываемой за календарный год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среднемесячной заработной плате руководителей,</w:t>
      </w:r>
    </w:p>
    <w:p w:rsidR="008044F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их заместителей, главных бухгалтеров</w:t>
      </w:r>
    </w:p>
    <w:p w:rsidR="006C010C" w:rsidRPr="006E5635" w:rsidRDefault="006C010C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 сельского поселения Курумоч  и подведомственных ей организаций </w:t>
      </w:r>
    </w:p>
    <w:p w:rsidR="008044F5" w:rsidRPr="006E5635" w:rsidRDefault="006C010C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за 20__ год</w:t>
      </w:r>
    </w:p>
    <w:p w:rsidR="008044F5" w:rsidRPr="00D9729F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559"/>
      </w:tblGrid>
      <w:tr w:rsidR="008044F5" w:rsidRPr="004034C0" w:rsidTr="001D0878">
        <w:tc>
          <w:tcPr>
            <w:tcW w:w="9418" w:type="dxa"/>
            <w:gridSpan w:val="2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муниципального учреждения (муниципального унитарного предприятия): </w:t>
            </w:r>
            <w:hyperlink w:anchor="P102" w:history="1">
              <w:r w:rsidRPr="00D9729F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8044F5" w:rsidRPr="004034C0" w:rsidTr="001D0878">
        <w:tc>
          <w:tcPr>
            <w:tcW w:w="9418" w:type="dxa"/>
            <w:gridSpan w:val="2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044F5" w:rsidRPr="004034C0" w:rsidTr="001D0878">
        <w:tc>
          <w:tcPr>
            <w:tcW w:w="7859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559" w:type="dxa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044F5" w:rsidRPr="004034C0" w:rsidTr="001D0878">
        <w:tc>
          <w:tcPr>
            <w:tcW w:w="7859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559" w:type="dxa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044F5" w:rsidRPr="004034C0" w:rsidTr="001D0878">
        <w:tc>
          <w:tcPr>
            <w:tcW w:w="7859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559" w:type="dxa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044F5" w:rsidRPr="004034C0" w:rsidTr="001D0878">
        <w:tc>
          <w:tcPr>
            <w:tcW w:w="7859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559" w:type="dxa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044F5" w:rsidRPr="004034C0" w:rsidTr="001D0878">
        <w:tc>
          <w:tcPr>
            <w:tcW w:w="7859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559" w:type="dxa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044F5" w:rsidRPr="004034C0" w:rsidTr="001D0878">
        <w:tc>
          <w:tcPr>
            <w:tcW w:w="7859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559" w:type="dxa"/>
          </w:tcPr>
          <w:p w:rsidR="008044F5" w:rsidRPr="004034C0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8044F5" w:rsidRPr="004034C0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044F5" w:rsidRPr="004034C0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034C0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8044F5" w:rsidRPr="004034C0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5" w:name="P102"/>
      <w:bookmarkEnd w:id="5"/>
      <w:r w:rsidRPr="004034C0">
        <w:rPr>
          <w:rFonts w:ascii="Times New Roman" w:hAnsi="Times New Roman" w:cs="Times New Roman"/>
          <w:color w:val="000000" w:themeColor="text1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10C" w:rsidRDefault="006C010C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46D" w:rsidRDefault="007E446D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46D" w:rsidRDefault="007E446D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6E5635" w:rsidRDefault="008044F5" w:rsidP="008044F5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8044F5" w:rsidRPr="006E5635" w:rsidRDefault="008044F5" w:rsidP="00804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8044F5" w:rsidRPr="006E5635" w:rsidRDefault="008044F5" w:rsidP="00804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</w:t>
      </w:r>
    </w:p>
    <w:p w:rsidR="008044F5" w:rsidRPr="006E5635" w:rsidRDefault="008044F5" w:rsidP="008044F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</w:t>
      </w:r>
    </w:p>
    <w:p w:rsidR="006C010C" w:rsidRDefault="008044F5" w:rsidP="006C0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="006C010C"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«Интернет» информации о рассчитываемой </w:t>
      </w:r>
    </w:p>
    <w:p w:rsidR="006C010C" w:rsidRDefault="006C010C" w:rsidP="006C0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календарный год среднемесячной </w:t>
      </w:r>
    </w:p>
    <w:p w:rsidR="006C010C" w:rsidRDefault="006C010C" w:rsidP="006C0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заработной плате руководителей, их заместителей, </w:t>
      </w:r>
    </w:p>
    <w:p w:rsidR="006C010C" w:rsidRDefault="006C010C" w:rsidP="006C0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главных бухгалтеров Администрации сельского поселения Курумоч и подведомственных ей организаций</w:t>
      </w:r>
    </w:p>
    <w:p w:rsidR="006C010C" w:rsidRPr="006E5635" w:rsidRDefault="006C010C" w:rsidP="006C0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представления указанными лицами данной информации</w:t>
      </w:r>
    </w:p>
    <w:p w:rsidR="008044F5" w:rsidRPr="006E5635" w:rsidRDefault="008044F5" w:rsidP="006C0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6E5635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23"/>
      <w:bookmarkEnd w:id="6"/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о рассчитываемой за календарный год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среднемесячной заработной плате руководителей,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их заместителей, главных бухгалтеров</w:t>
      </w:r>
    </w:p>
    <w:p w:rsidR="008044F5" w:rsidRPr="006E5635" w:rsidRDefault="006C010C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1B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Курумоч и подведомственных ей организаций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4F5"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среднемесячной заработной плате работников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учреждений и муниципальных унитарных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предприятий муниципального образования </w:t>
      </w:r>
      <w:r w:rsidR="006C010C">
        <w:rPr>
          <w:rFonts w:ascii="Times New Roman" w:hAnsi="Times New Roman" w:cs="Times New Roman"/>
          <w:color w:val="000000" w:themeColor="text1"/>
          <w:sz w:val="24"/>
          <w:szCs w:val="24"/>
        </w:rPr>
        <w:t>«Сельское поселение Курумоч»</w:t>
      </w: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учета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 платы соответствующего руководителя,</w:t>
      </w:r>
    </w:p>
    <w:p w:rsidR="008044F5" w:rsidRPr="006E5635" w:rsidRDefault="008044F5" w:rsidP="008044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635">
        <w:rPr>
          <w:rFonts w:ascii="Times New Roman" w:hAnsi="Times New Roman" w:cs="Times New Roman"/>
          <w:color w:val="000000" w:themeColor="text1"/>
          <w:sz w:val="24"/>
          <w:szCs w:val="24"/>
        </w:rPr>
        <w:t>его заместителей, главного бухгалтера) за 20__ год</w:t>
      </w:r>
    </w:p>
    <w:p w:rsidR="008044F5" w:rsidRPr="004034C0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953"/>
        <w:gridCol w:w="2977"/>
      </w:tblGrid>
      <w:tr w:rsidR="008044F5" w:rsidRPr="00D9729F" w:rsidTr="001D0878">
        <w:tc>
          <w:tcPr>
            <w:tcW w:w="9418" w:type="dxa"/>
            <w:gridSpan w:val="3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муниципального учреждения (муниципального унитарного предприятия): </w:t>
            </w:r>
            <w:hyperlink w:anchor="P198" w:history="1">
              <w:r w:rsidRPr="00D9729F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</w:tr>
      <w:tr w:rsidR="008044F5" w:rsidRPr="00D9729F" w:rsidTr="001D0878">
        <w:trPr>
          <w:trHeight w:val="129"/>
        </w:trPr>
        <w:tc>
          <w:tcPr>
            <w:tcW w:w="9418" w:type="dxa"/>
            <w:gridSpan w:val="3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Средняя заработная плата руководителя за отчетный год (руб.)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2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3.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3.1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044F5" w:rsidRPr="00D9729F" w:rsidTr="001D0878">
        <w:tc>
          <w:tcPr>
            <w:tcW w:w="488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3" w:type="dxa"/>
            <w:hideMark/>
          </w:tcPr>
          <w:p w:rsidR="008044F5" w:rsidRPr="00D9729F" w:rsidRDefault="008044F5" w:rsidP="001D087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729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977" w:type="dxa"/>
          </w:tcPr>
          <w:p w:rsidR="008044F5" w:rsidRPr="00D9729F" w:rsidRDefault="008044F5" w:rsidP="001D087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044F5" w:rsidRPr="00D9729F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044F5" w:rsidRPr="00D9729F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729F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_______________________________</w:t>
      </w:r>
    </w:p>
    <w:p w:rsidR="008044F5" w:rsidRPr="00D9729F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044F5" w:rsidRPr="00D9729F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729F">
        <w:rPr>
          <w:rFonts w:ascii="Times New Roman" w:hAnsi="Times New Roman" w:cs="Times New Roman"/>
          <w:color w:val="000000" w:themeColor="text1"/>
          <w:sz w:val="22"/>
          <w:szCs w:val="22"/>
        </w:rPr>
        <w:t>Главный бухгалтер ___________________________</w:t>
      </w:r>
    </w:p>
    <w:p w:rsidR="008044F5" w:rsidRPr="004034C0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8044F5" w:rsidRPr="004034C0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034C0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8044F5" w:rsidRPr="004034C0" w:rsidRDefault="008044F5" w:rsidP="008044F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" w:name="P198"/>
      <w:bookmarkEnd w:id="7"/>
      <w:r w:rsidRPr="004034C0">
        <w:rPr>
          <w:rFonts w:ascii="Times New Roman" w:hAnsi="Times New Roman" w:cs="Times New Roman"/>
          <w:color w:val="000000" w:themeColor="text1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044F5" w:rsidRPr="004034C0" w:rsidRDefault="008044F5" w:rsidP="008044F5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6C010C" w:rsidRDefault="006C010C" w:rsidP="008044F5">
      <w:pPr>
        <w:contextualSpacing/>
        <w:jc w:val="center"/>
        <w:rPr>
          <w:b/>
          <w:color w:val="000000" w:themeColor="text1"/>
        </w:rPr>
      </w:pPr>
    </w:p>
    <w:p w:rsidR="006C010C" w:rsidRDefault="006C010C" w:rsidP="008044F5">
      <w:pPr>
        <w:contextualSpacing/>
        <w:jc w:val="center"/>
        <w:rPr>
          <w:b/>
          <w:color w:val="000000" w:themeColor="text1"/>
        </w:rPr>
      </w:pPr>
    </w:p>
    <w:p w:rsidR="006C010C" w:rsidRDefault="006C010C" w:rsidP="008044F5">
      <w:pPr>
        <w:contextualSpacing/>
        <w:jc w:val="center"/>
        <w:rPr>
          <w:b/>
          <w:color w:val="000000" w:themeColor="text1"/>
        </w:rPr>
      </w:pPr>
    </w:p>
    <w:p w:rsidR="006C010C" w:rsidRDefault="006C010C" w:rsidP="008044F5">
      <w:pPr>
        <w:contextualSpacing/>
        <w:jc w:val="center"/>
        <w:rPr>
          <w:b/>
          <w:color w:val="000000" w:themeColor="text1"/>
        </w:rPr>
      </w:pPr>
    </w:p>
    <w:p w:rsidR="006C010C" w:rsidRDefault="006C010C" w:rsidP="008044F5">
      <w:pPr>
        <w:contextualSpacing/>
        <w:jc w:val="center"/>
        <w:rPr>
          <w:b/>
          <w:color w:val="000000" w:themeColor="text1"/>
        </w:rPr>
      </w:pPr>
    </w:p>
    <w:p w:rsidR="006C010C" w:rsidRDefault="006C010C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p w:rsidR="008044F5" w:rsidRDefault="008044F5" w:rsidP="008044F5">
      <w:pPr>
        <w:contextualSpacing/>
        <w:jc w:val="center"/>
        <w:rPr>
          <w:b/>
          <w:color w:val="000000" w:themeColor="text1"/>
        </w:rPr>
      </w:pPr>
    </w:p>
    <w:sectPr w:rsidR="008044F5" w:rsidSect="00E66142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6E35"/>
    <w:multiLevelType w:val="hybridMultilevel"/>
    <w:tmpl w:val="01EE7B18"/>
    <w:lvl w:ilvl="0" w:tplc="EABA64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5"/>
    <w:rsid w:val="000831BE"/>
    <w:rsid w:val="001923D4"/>
    <w:rsid w:val="003324B1"/>
    <w:rsid w:val="00336CBE"/>
    <w:rsid w:val="003D4EF9"/>
    <w:rsid w:val="004D366E"/>
    <w:rsid w:val="0050496E"/>
    <w:rsid w:val="005C1184"/>
    <w:rsid w:val="00640122"/>
    <w:rsid w:val="0064039C"/>
    <w:rsid w:val="00647C39"/>
    <w:rsid w:val="006C010C"/>
    <w:rsid w:val="006F6EE4"/>
    <w:rsid w:val="00732B32"/>
    <w:rsid w:val="007B30F4"/>
    <w:rsid w:val="007E446D"/>
    <w:rsid w:val="008044F5"/>
    <w:rsid w:val="00872740"/>
    <w:rsid w:val="008950B3"/>
    <w:rsid w:val="009A7CE3"/>
    <w:rsid w:val="009D05C8"/>
    <w:rsid w:val="00A36068"/>
    <w:rsid w:val="00A62097"/>
    <w:rsid w:val="00AB7475"/>
    <w:rsid w:val="00BD0EE9"/>
    <w:rsid w:val="00CE572B"/>
    <w:rsid w:val="00CF614E"/>
    <w:rsid w:val="00D52510"/>
    <w:rsid w:val="00DC4598"/>
    <w:rsid w:val="00E61B0B"/>
    <w:rsid w:val="00EC016B"/>
    <w:rsid w:val="00F62F86"/>
    <w:rsid w:val="00FA475C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C9C8-AF12-48B6-8C97-55045E4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44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044F5"/>
    <w:rPr>
      <w:rFonts w:cs="Times New Roman"/>
      <w:color w:val="0000FF"/>
      <w:u w:val="single"/>
    </w:rPr>
  </w:style>
  <w:style w:type="paragraph" w:customStyle="1" w:styleId="ConsPlusNormal">
    <w:name w:val="ConsPlusNormal"/>
    <w:rsid w:val="00804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04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044F5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04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044F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044F5"/>
    <w:rPr>
      <w:rFonts w:ascii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E57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B74934A0286115A2D5B56E96ADC6BE87E506A99549ECC3380CAF49D1549B696A7102F340FMFl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B74934A0286115A2D5B56E96ADC6BE87E506A99549ECC3380CAF49D1549B696A7102F340FMFl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2017-03-06T10:56:00Z</cp:lastPrinted>
  <dcterms:created xsi:type="dcterms:W3CDTF">2017-03-06T10:57:00Z</dcterms:created>
  <dcterms:modified xsi:type="dcterms:W3CDTF">2017-03-06T10:57:00Z</dcterms:modified>
</cp:coreProperties>
</file>